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非国有不可移动文物转让、抵押或者改变用途的备案事项办事指南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sz w:val="28"/>
          <w:szCs w:val="28"/>
          <w:lang w:val="en-US" w:eastAsia="zh-CN"/>
        </w:rPr>
        <w:t>项目编</w:t>
      </w:r>
      <w:r>
        <w:rPr>
          <w:rFonts w:hint="eastAsia" w:ascii="黑体" w:hAnsi="黑体" w:eastAsia="黑体" w:cs="黑体"/>
          <w:b/>
          <w:bCs/>
          <w:color w:val="auto"/>
          <w:sz w:val="28"/>
          <w:szCs w:val="28"/>
          <w:lang w:val="en-US" w:eastAsia="zh-CN"/>
        </w:rPr>
        <w:t>码：</w:t>
      </w:r>
      <w:r>
        <w:rPr>
          <w:rFonts w:hint="eastAsia" w:ascii="黑体" w:hAnsi="黑体" w:eastAsia="黑体" w:cs="黑体"/>
          <w:b w:val="0"/>
          <w:bCs w:val="0"/>
          <w:color w:val="auto"/>
          <w:sz w:val="28"/>
          <w:szCs w:val="28"/>
          <w:lang w:val="en-US" w:eastAsia="zh-CN"/>
        </w:rPr>
        <w:t>131068007000</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承办机构：</w:t>
      </w:r>
      <w:r>
        <w:rPr>
          <w:rFonts w:hint="eastAsia" w:ascii="黑体" w:hAnsi="黑体" w:eastAsia="黑体" w:cs="黑体"/>
          <w:color w:val="auto"/>
          <w:sz w:val="28"/>
          <w:szCs w:val="28"/>
          <w:lang w:val="en-US" w:eastAsia="zh-CN"/>
        </w:rPr>
        <w:t>承德市文物局</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办理地点</w:t>
      </w:r>
      <w:r>
        <w:rPr>
          <w:rFonts w:hint="eastAsia" w:ascii="黑体" w:hAnsi="黑体" w:eastAsia="黑体" w:cs="黑体"/>
          <w:color w:val="auto"/>
          <w:sz w:val="28"/>
          <w:szCs w:val="28"/>
          <w:lang w:val="en-US" w:eastAsia="zh-CN"/>
        </w:rPr>
        <w:t>：承德市文物局文物科212室</w:t>
      </w: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实施对象：</w:t>
      </w:r>
      <w:r>
        <w:rPr>
          <w:rFonts w:hint="eastAsia" w:ascii="黑体" w:hAnsi="黑体" w:eastAsia="黑体" w:cs="黑体"/>
          <w:b w:val="0"/>
          <w:bCs w:val="0"/>
          <w:color w:val="auto"/>
          <w:sz w:val="28"/>
          <w:szCs w:val="28"/>
          <w:lang w:val="en-US" w:eastAsia="zh-CN"/>
        </w:rPr>
        <w:t>自然人,企业法人,非法人企业</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办理时限：</w:t>
      </w:r>
      <w:r>
        <w:rPr>
          <w:rFonts w:hint="eastAsia" w:ascii="黑体" w:hAnsi="黑体" w:eastAsia="黑体" w:cs="黑体"/>
          <w:color w:val="auto"/>
          <w:sz w:val="28"/>
          <w:szCs w:val="28"/>
          <w:lang w:val="en-US" w:eastAsia="zh-CN"/>
        </w:rPr>
        <w:t>法定办结时限 20个工作日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12个工作日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color w:val="auto"/>
          <w:sz w:val="28"/>
          <w:szCs w:val="28"/>
          <w:lang w:val="en-US" w:eastAsia="zh-CN"/>
        </w:rPr>
        <w:t>《中华人民共和国文物保护法》第二十五条。</w:t>
      </w:r>
      <w:bookmarkStart w:id="0" w:name="_GoBack"/>
      <w:bookmarkEnd w:id="0"/>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w:t>
      </w:r>
    </w:p>
    <w:p>
      <w:pPr>
        <w:numPr>
          <w:ilvl w:val="0"/>
          <w:numId w:val="0"/>
        </w:numPr>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1.受理责任：公示应当提交的材料，一次性告知补正材料，依法受理或不予受理（不予受理应当告知理由）。                                                                                                                                                                       2.审查责任：申请人提交申请材料及相关资料。                                                                                                                                                                           3.决定责任：组织审核，出具同意或不同意备案的意见，不符合条件的将材料退回，并书面告知申请人。                                                       4.送达责任：出具备案意见并送达。                                                                                                                                                                                  5.事后责任：及时处理转让、抵押或者改变用途后的反馈信息。                                                                                                      6.其他：法律法规规章文件规定应履行的其他责任。</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《中华人民共和国文物保护法》第二十五条: 非国有不可移动文物不得转让、抵押给外国人。非国有不可移动文物转让、抵押或者改变用途的，应当根据其级别报相应的文物行政部门备案。</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ind w:firstLine="560" w:firstLineChars="20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因不履行或不正确履行行政职责，有下列情形的，行政机关及相关工作人员应承担相应责任：                                                                                                                                                   1.对符合受理条件而不予受理的；                                                                                                                                                                                                         2.对不符合受理条件或明知不符合有关法律法规或技术要求而进行备案的；                                                                                                                                                                     3.因未严格审查而产生严重后果的；                                                                                                                                                                                                     4.在备案中有玩忽职守、滥用职权发生腐败行为的；                                                                                                                                                                                   5.其他违反法律法规规章文件规定的行为。</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Pr>
        <w:numPr>
          <w:ilvl w:val="0"/>
          <w:numId w:val="0"/>
        </w:numPr>
        <w:rPr>
          <w:rFonts w:hint="eastAsia" w:ascii="黑体" w:hAnsi="黑体" w:eastAsia="黑体" w:cs="黑体"/>
          <w:sz w:val="28"/>
          <w:szCs w:val="28"/>
          <w:lang w:val="en-US" w:eastAsia="zh-CN"/>
        </w:rPr>
      </w:pP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74DDE"/>
    <w:rsid w:val="5AB75B7B"/>
    <w:rsid w:val="618E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2021-05-26T03:12:00Z</dcterms:created>
  <dc:creator>Administrator</dc:creator>
  <cp:lastModifiedBy>New Kid In Town</cp:lastModifiedBy>
  <dcterms:modified xsi:type="dcterms:W3CDTF">2021-05-26T07:56:48Z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A6DCFCDF870D4B04A179FA43C85F0185</vt:lpwstr>
  </property>
</Properties>
</file>