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文物保护工程勘察设计乙</w:t>
      </w:r>
      <w:bookmarkStart w:id="0" w:name="_GoBack"/>
      <w:bookmarkEnd w:id="0"/>
      <w:r>
        <w:rPr>
          <w:rFonts w:hint="eastAsia" w:asciiTheme="majorEastAsia" w:hAnsiTheme="majorEastAsia" w:eastAsiaTheme="majorEastAsia" w:cstheme="majorEastAsia"/>
          <w:b/>
          <w:bCs/>
          <w:sz w:val="44"/>
          <w:szCs w:val="44"/>
          <w:lang w:val="en-US" w:eastAsia="zh-CN"/>
        </w:rPr>
        <w:t>级资质初审</w:t>
      </w:r>
    </w:p>
    <w:p>
      <w:pPr>
        <w:numPr>
          <w:ilvl w:val="0"/>
          <w:numId w:val="0"/>
        </w:numPr>
        <w:jc w:val="center"/>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事项办事指南</w:t>
      </w:r>
    </w:p>
    <w:p>
      <w:pPr>
        <w:numPr>
          <w:ilvl w:val="0"/>
          <w:numId w:val="0"/>
        </w:numPr>
        <w:rPr>
          <w:rFonts w:hint="eastAsia" w:ascii="黑体" w:hAnsi="黑体" w:eastAsia="黑体" w:cs="黑体"/>
          <w:b/>
          <w:bCs/>
          <w:sz w:val="28"/>
          <w:szCs w:val="28"/>
          <w:lang w:val="en-US" w:eastAsia="zh-CN"/>
        </w:rPr>
      </w:pPr>
    </w:p>
    <w:p>
      <w:pPr>
        <w:numPr>
          <w:ilvl w:val="0"/>
          <w:numId w:val="0"/>
        </w:numPr>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项目编码：</w:t>
      </w:r>
      <w:r>
        <w:rPr>
          <w:rFonts w:hint="eastAsia" w:ascii="黑体" w:hAnsi="黑体" w:eastAsia="黑体" w:cs="黑体"/>
          <w:b w:val="0"/>
          <w:bCs w:val="0"/>
          <w:sz w:val="28"/>
          <w:szCs w:val="28"/>
          <w:lang w:val="en-US" w:eastAsia="zh-CN"/>
        </w:rPr>
        <w:t>130168035013</w:t>
      </w:r>
    </w:p>
    <w:p>
      <w:pPr>
        <w:numPr>
          <w:ilvl w:val="0"/>
          <w:numId w:val="0"/>
        </w:numPr>
        <w:rPr>
          <w:rFonts w:hint="eastAsia" w:ascii="黑体" w:hAnsi="黑体" w:eastAsia="黑体" w:cs="黑体"/>
          <w:sz w:val="28"/>
          <w:szCs w:val="28"/>
          <w:lang w:val="en-US" w:eastAsia="zh-CN"/>
        </w:rPr>
      </w:pPr>
      <w:r>
        <w:rPr>
          <w:rFonts w:hint="eastAsia" w:ascii="黑体" w:hAnsi="黑体" w:eastAsia="黑体" w:cs="黑体"/>
          <w:b/>
          <w:bCs/>
          <w:sz w:val="28"/>
          <w:szCs w:val="28"/>
          <w:lang w:val="en-US" w:eastAsia="zh-CN"/>
        </w:rPr>
        <w:t>承办机构：</w:t>
      </w:r>
      <w:r>
        <w:rPr>
          <w:rFonts w:hint="eastAsia" w:ascii="黑体" w:hAnsi="黑体" w:eastAsia="黑体" w:cs="黑体"/>
          <w:sz w:val="28"/>
          <w:szCs w:val="28"/>
          <w:lang w:val="en-US" w:eastAsia="zh-CN"/>
        </w:rPr>
        <w:t>承德市文物局</w:t>
      </w:r>
    </w:p>
    <w:p>
      <w:pPr>
        <w:numPr>
          <w:ilvl w:val="0"/>
          <w:numId w:val="0"/>
        </w:numPr>
        <w:rPr>
          <w:rFonts w:hint="eastAsia" w:ascii="黑体" w:hAnsi="黑体" w:eastAsia="黑体" w:cs="黑体"/>
          <w:sz w:val="28"/>
          <w:szCs w:val="28"/>
          <w:lang w:val="en-US" w:eastAsia="zh-CN"/>
        </w:rPr>
      </w:pPr>
      <w:r>
        <w:rPr>
          <w:rFonts w:hint="eastAsia" w:ascii="黑体" w:hAnsi="黑体" w:eastAsia="黑体" w:cs="黑体"/>
          <w:b/>
          <w:bCs/>
          <w:sz w:val="28"/>
          <w:szCs w:val="28"/>
          <w:lang w:val="en-US" w:eastAsia="zh-CN"/>
        </w:rPr>
        <w:t>办理地点</w:t>
      </w:r>
      <w:r>
        <w:rPr>
          <w:rFonts w:hint="eastAsia" w:ascii="黑体" w:hAnsi="黑体" w:eastAsia="黑体" w:cs="黑体"/>
          <w:sz w:val="28"/>
          <w:szCs w:val="28"/>
          <w:lang w:val="en-US" w:eastAsia="zh-CN"/>
        </w:rPr>
        <w:t>：承德市文物局文物科212室</w:t>
      </w:r>
    </w:p>
    <w:p>
      <w:pPr>
        <w:numPr>
          <w:ilvl w:val="0"/>
          <w:numId w:val="0"/>
        </w:numPr>
        <w:rPr>
          <w:rFonts w:hint="eastAsia" w:ascii="黑体" w:hAnsi="黑体" w:eastAsia="黑体" w:cs="黑体"/>
          <w:sz w:val="28"/>
          <w:szCs w:val="28"/>
          <w:lang w:val="en-US" w:eastAsia="zh-CN"/>
        </w:rPr>
      </w:pPr>
      <w:r>
        <w:rPr>
          <w:rFonts w:hint="eastAsia" w:ascii="黑体" w:hAnsi="黑体" w:eastAsia="黑体" w:cs="黑体"/>
          <w:b/>
          <w:bCs/>
          <w:sz w:val="28"/>
          <w:szCs w:val="28"/>
          <w:lang w:val="en-US" w:eastAsia="zh-CN"/>
        </w:rPr>
        <w:t>实施对象：</w:t>
      </w:r>
      <w:r>
        <w:rPr>
          <w:rFonts w:hint="eastAsia" w:ascii="黑体" w:hAnsi="黑体" w:eastAsia="黑体" w:cs="黑体"/>
          <w:b w:val="0"/>
          <w:bCs w:val="0"/>
          <w:sz w:val="28"/>
          <w:szCs w:val="28"/>
          <w:lang w:val="en-US" w:eastAsia="zh-CN"/>
        </w:rPr>
        <w:t>自然人,企业法人,事业法人,社会组织法人,其他组织</w:t>
      </w:r>
    </w:p>
    <w:p>
      <w:pPr>
        <w:numPr>
          <w:ilvl w:val="0"/>
          <w:numId w:val="0"/>
        </w:numPr>
        <w:rPr>
          <w:rFonts w:hint="eastAsia" w:ascii="黑体" w:hAnsi="黑体" w:eastAsia="黑体" w:cs="黑体"/>
          <w:sz w:val="28"/>
          <w:szCs w:val="28"/>
          <w:lang w:val="en-US" w:eastAsia="zh-CN"/>
        </w:rPr>
      </w:pPr>
      <w:r>
        <w:rPr>
          <w:rFonts w:hint="eastAsia" w:ascii="黑体" w:hAnsi="黑体" w:eastAsia="黑体" w:cs="黑体"/>
          <w:b/>
          <w:bCs/>
          <w:sz w:val="28"/>
          <w:szCs w:val="28"/>
          <w:lang w:val="en-US" w:eastAsia="zh-CN"/>
        </w:rPr>
        <w:t>办理时限：</w:t>
      </w:r>
      <w:r>
        <w:rPr>
          <w:rFonts w:hint="eastAsia" w:ascii="黑体" w:hAnsi="黑体" w:eastAsia="黑体" w:cs="黑体"/>
          <w:sz w:val="28"/>
          <w:szCs w:val="28"/>
          <w:lang w:val="en-US" w:eastAsia="zh-CN"/>
        </w:rPr>
        <w:t>法定办结时限 20个工作日</w:t>
      </w:r>
    </w:p>
    <w:p>
      <w:pPr>
        <w:numPr>
          <w:ilvl w:val="0"/>
          <w:numId w:val="0"/>
        </w:numP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 xml:space="preserve">          承诺办结时限 15个工作日</w:t>
      </w:r>
    </w:p>
    <w:p>
      <w:pPr>
        <w:numPr>
          <w:ilvl w:val="0"/>
          <w:numId w:val="0"/>
        </w:numPr>
        <w:rPr>
          <w:rFonts w:hint="eastAsia" w:ascii="黑体" w:hAnsi="黑体" w:eastAsia="黑体" w:cs="黑体"/>
          <w:sz w:val="28"/>
          <w:szCs w:val="28"/>
          <w:lang w:val="en-US" w:eastAsia="zh-CN"/>
        </w:rPr>
      </w:pPr>
      <w:r>
        <w:rPr>
          <w:rFonts w:hint="eastAsia" w:ascii="黑体" w:hAnsi="黑体" w:eastAsia="黑体" w:cs="黑体"/>
          <w:b/>
          <w:bCs/>
          <w:sz w:val="28"/>
          <w:szCs w:val="28"/>
          <w:lang w:val="en-US" w:eastAsia="zh-CN"/>
        </w:rPr>
        <w:t>收费标准和依据：</w:t>
      </w:r>
      <w:r>
        <w:rPr>
          <w:rFonts w:hint="eastAsia" w:ascii="黑体" w:hAnsi="黑体" w:eastAsia="黑体" w:cs="黑体"/>
          <w:sz w:val="28"/>
          <w:szCs w:val="28"/>
          <w:lang w:val="en-US" w:eastAsia="zh-CN"/>
        </w:rPr>
        <w:t>本事项不收费</w:t>
      </w:r>
    </w:p>
    <w:p>
      <w:pPr>
        <w:numPr>
          <w:ilvl w:val="0"/>
          <w:numId w:val="0"/>
        </w:numPr>
        <w:rPr>
          <w:rFonts w:hint="eastAsia" w:ascii="黑体" w:hAnsi="黑体" w:eastAsia="黑体" w:cs="黑体"/>
          <w:sz w:val="28"/>
          <w:szCs w:val="28"/>
          <w:lang w:val="en-US" w:eastAsia="zh-CN"/>
        </w:rPr>
      </w:pPr>
      <w:r>
        <w:rPr>
          <w:rFonts w:hint="eastAsia" w:ascii="黑体" w:hAnsi="黑体" w:eastAsia="黑体" w:cs="黑体"/>
          <w:b/>
          <w:bCs/>
          <w:sz w:val="28"/>
          <w:szCs w:val="28"/>
          <w:lang w:val="en-US" w:eastAsia="zh-CN"/>
        </w:rPr>
        <w:t>实施依据:</w:t>
      </w:r>
      <w:r>
        <w:rPr>
          <w:rFonts w:hint="eastAsia" w:ascii="黑体" w:hAnsi="黑体" w:eastAsia="黑体" w:cs="黑体"/>
          <w:sz w:val="28"/>
          <w:szCs w:val="28"/>
          <w:lang w:val="en-US" w:eastAsia="zh-CN"/>
        </w:rPr>
        <w:t>《中华人民共和国文物保护法》第二十一条第三款；</w:t>
      </w:r>
    </w:p>
    <w:p>
      <w:pPr>
        <w:numPr>
          <w:ilvl w:val="0"/>
          <w:numId w:val="0"/>
        </w:numP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《文物保护工程勘察设计资质管理办法（试行）》第十九条。</w:t>
      </w:r>
    </w:p>
    <w:p>
      <w:pPr>
        <w:numPr>
          <w:ilvl w:val="0"/>
          <w:numId w:val="0"/>
        </w:numPr>
        <w:jc w:val="left"/>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责任事项：</w:t>
      </w:r>
    </w:p>
    <w:p>
      <w:pPr>
        <w:numPr>
          <w:ilvl w:val="0"/>
          <w:numId w:val="0"/>
        </w:numPr>
        <w:jc w:val="left"/>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1.受理责任：公示依法应当提交的材料；一次性告知补正材料；依法受理或不予受理（不予受理应告知理由）。                                                                                                                                                                                                                 2.审查责任：申请人提交申请材料及相关资料。                                                                                                                                                                                        3.决定责任：组织专家提出意见，作出初审通过或不通过的意见，不符合条件的将材料退回，并书面告知申请人。                                                                                                                                       4.送达责任：依法出具初审意见并送达。                                                                                                                                                                                      5.事后监管责任：取得资质证书后对证书使用、管理情况开展检查，根据检查情况，依法采取相关处置措施。                                                                                                                                            6.其他： 法律法规规章文件规定应履行的其他责任。</w:t>
      </w:r>
    </w:p>
    <w:p>
      <w:pPr>
        <w:numPr>
          <w:ilvl w:val="0"/>
          <w:numId w:val="0"/>
        </w:numPr>
        <w:jc w:val="left"/>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责任事项依据：</w:t>
      </w:r>
    </w:p>
    <w:p>
      <w:pPr>
        <w:numPr>
          <w:ilvl w:val="0"/>
          <w:numId w:val="0"/>
        </w:numPr>
        <w:ind w:firstLine="560" w:firstLineChars="200"/>
        <w:jc w:val="left"/>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《中华人民共和国文物保护法》第二十一条第三款：文物保护单位的修缮、迁移、重建，由取得文物保护工程资质证书的单位承担。</w:t>
      </w:r>
    </w:p>
    <w:p>
      <w:pPr>
        <w:numPr>
          <w:ilvl w:val="0"/>
          <w:numId w:val="0"/>
        </w:numPr>
        <w:ind w:firstLine="560" w:firstLineChars="200"/>
        <w:jc w:val="left"/>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文物保护工程勘察设计资质管理办法（试行）》第十九条：申请乙级及以下文物保护工程勘察设计资质或申请增加乙级及以下资质业务范围的单位，应当报请所在地市、县级文物主管部门初审合格后报省级文物主管部门审批。</w:t>
      </w:r>
    </w:p>
    <w:p>
      <w:pPr>
        <w:numPr>
          <w:ilvl w:val="0"/>
          <w:numId w:val="0"/>
        </w:numPr>
        <w:jc w:val="left"/>
        <w:rPr>
          <w:rFonts w:hint="eastAsia" w:ascii="黑体" w:hAnsi="黑体" w:eastAsia="黑体" w:cs="黑体"/>
          <w:b w:val="0"/>
          <w:bCs w:val="0"/>
          <w:sz w:val="28"/>
          <w:szCs w:val="28"/>
          <w:lang w:val="en-US" w:eastAsia="zh-CN"/>
        </w:rPr>
      </w:pPr>
      <w:r>
        <w:rPr>
          <w:rFonts w:hint="eastAsia" w:ascii="黑体" w:hAnsi="黑体" w:eastAsia="黑体" w:cs="黑体"/>
          <w:b/>
          <w:bCs/>
          <w:sz w:val="28"/>
          <w:szCs w:val="28"/>
          <w:lang w:val="en-US" w:eastAsia="zh-CN"/>
        </w:rPr>
        <w:t>追责情形</w:t>
      </w:r>
      <w:r>
        <w:rPr>
          <w:rFonts w:hint="eastAsia" w:ascii="黑体" w:hAnsi="黑体" w:eastAsia="黑体" w:cs="黑体"/>
          <w:b w:val="0"/>
          <w:bCs w:val="0"/>
          <w:sz w:val="28"/>
          <w:szCs w:val="28"/>
          <w:lang w:val="en-US" w:eastAsia="zh-CN"/>
        </w:rPr>
        <w:t>：</w:t>
      </w:r>
    </w:p>
    <w:p>
      <w:pPr>
        <w:numPr>
          <w:ilvl w:val="0"/>
          <w:numId w:val="0"/>
        </w:numPr>
        <w:ind w:firstLine="560" w:firstLineChars="200"/>
        <w:jc w:val="left"/>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因不履行或不正确履行行政职责，有下列情形的，行政机关及相关工作人员应承担相应责任：                                                                                                                                                1.对符合受理条件的申请不予受理的；                                                                                                                                                                                                2.对不符合受理条件或明知不符合有关法律法规或技术要求而初审通过的；                                                                                                                                                              3.因未严格审核而产生严重后果的；                                                                                                                                                                                                   4.擅自增设或变更初审程序和条件的；                                                                                                                                                                                          5.在初审中有玩忽职守、滥用职权发生腐败行为的；                                                                                                                                                                                                      6.其他违反法律法规规章文件规定的行为。</w:t>
      </w:r>
    </w:p>
    <w:p>
      <w:pPr>
        <w:keepNext w:val="0"/>
        <w:keepLines w:val="0"/>
        <w:pageBreakBefore w:val="0"/>
        <w:widowControl w:val="0"/>
        <w:tabs>
          <w:tab w:val="left" w:pos="7937"/>
        </w:tabs>
        <w:kinsoku/>
        <w:wordWrap/>
        <w:overflowPunct/>
        <w:topLinePunct w:val="0"/>
        <w:autoSpaceDE/>
        <w:autoSpaceDN/>
        <w:bidi w:val="0"/>
        <w:adjustRightInd/>
        <w:snapToGrid/>
        <w:spacing w:line="300" w:lineRule="exact"/>
        <w:jc w:val="left"/>
        <w:textAlignment w:val="auto"/>
        <w:outlineLvl w:val="9"/>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追责情形依据：</w:t>
      </w:r>
    </w:p>
    <w:p>
      <w:pPr>
        <w:numPr>
          <w:ilvl w:val="0"/>
          <w:numId w:val="0"/>
        </w:numPr>
        <w:ind w:firstLine="560" w:firstLineChars="200"/>
        <w:jc w:val="left"/>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中华人民共和国文物保护法》第七十六条：文物行政部门、文物收藏单位、文物商店、经营文物拍卖的拍卖企业的工作人员，有下列行为之一的，依法给予行政处分，情节严重的，依法开除公职或者吊销其从业资格；构成犯罪的，依法追究刑事责任： （一）文物行政部门的工作人员违反本法规定，滥用审批权限、不履行职责或者发现违法行为不予查处，造成严重后果的。</w:t>
      </w:r>
    </w:p>
    <w:p>
      <w:pPr>
        <w:numPr>
          <w:ilvl w:val="0"/>
          <w:numId w:val="0"/>
        </w:numPr>
        <w:ind w:firstLine="560" w:firstLineChars="200"/>
        <w:jc w:val="left"/>
        <w:rPr>
          <w:rFonts w:hint="eastAsia" w:ascii="黑体" w:hAnsi="黑体" w:eastAsia="黑体" w:cs="黑体"/>
          <w:b w:val="0"/>
          <w:bCs w:val="0"/>
          <w:sz w:val="28"/>
          <w:szCs w:val="28"/>
          <w:lang w:val="en-US" w:eastAsia="zh-CN"/>
        </w:rPr>
        <w:sectPr>
          <w:pgSz w:w="11906" w:h="16838"/>
          <w:pgMar w:top="1440" w:right="1800" w:bottom="1440" w:left="1800" w:header="851" w:footer="992" w:gutter="0"/>
          <w:cols w:space="425" w:num="1"/>
          <w:docGrid w:type="lines" w:linePitch="312" w:charSpace="0"/>
        </w:sectPr>
      </w:pPr>
      <w:r>
        <w:rPr>
          <w:rFonts w:hint="eastAsia" w:ascii="黑体" w:hAnsi="黑体" w:eastAsia="黑体" w:cs="黑体"/>
          <w:b w:val="0"/>
          <w:bCs w:val="0"/>
          <w:sz w:val="28"/>
          <w:szCs w:val="28"/>
          <w:lang w:val="en-US" w:eastAsia="zh-CN"/>
        </w:rPr>
        <w:t>《中华人民共和国文物保护法实施条例》第五十四条：公安机关、工商行政管理、文物、海关、城乡规划、建设等有关部门及其工作人员，违反本条例规定，滥用审批权限、不履行职责或者发现违法行为不予查处的，对负有责任的主管人员和其他直接责任人员依法给予行政处分；构成犯罪的，依法追究刑事责任。</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F535C0"/>
    <w:rsid w:val="4E0D3746"/>
    <w:rsid w:val="74C726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2021-05-26T02:35:00Z</dcterms:created>
  <dc:creator>Administrator</dc:creator>
  <cp:lastModifiedBy>Administrator</cp:lastModifiedBy>
  <dcterms:modified xsi:type="dcterms:W3CDTF">2021-08-11T01:47:18Z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1BDB2F4EEE8E4DF5908F2A07D3A449A5</vt:lpwstr>
  </property>
</Properties>
</file>