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文物保护工程监理乙级资质初审事项</w:t>
      </w:r>
    </w:p>
    <w:p>
      <w:pPr>
        <w:numPr>
          <w:ilvl w:val="0"/>
          <w:numId w:val="0"/>
        </w:numPr>
        <w:jc w:val="center"/>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sz w:val="28"/>
          <w:szCs w:val="28"/>
          <w:lang w:val="en-US" w:eastAsia="zh-CN"/>
        </w:rPr>
        <w:t>项目编码：</w:t>
      </w:r>
      <w:r>
        <w:rPr>
          <w:rFonts w:hint="eastAsia" w:ascii="黑体" w:hAnsi="黑体" w:eastAsia="黑体" w:cs="黑体"/>
          <w:b w:val="0"/>
          <w:bCs w:val="0"/>
          <w:color w:val="auto"/>
          <w:sz w:val="28"/>
          <w:szCs w:val="28"/>
          <w:lang w:val="en-US" w:eastAsia="zh-CN"/>
        </w:rPr>
        <w:t>130168035015</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承办机构：</w:t>
      </w:r>
      <w:r>
        <w:rPr>
          <w:rFonts w:hint="eastAsia" w:ascii="黑体" w:hAnsi="黑体" w:eastAsia="黑体" w:cs="黑体"/>
          <w:color w:val="auto"/>
          <w:sz w:val="28"/>
          <w:szCs w:val="28"/>
          <w:lang w:val="en-US" w:eastAsia="zh-CN"/>
        </w:rPr>
        <w:t>承德市文物局</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办理地点</w:t>
      </w:r>
      <w:r>
        <w:rPr>
          <w:rFonts w:hint="eastAsia" w:ascii="黑体" w:hAnsi="黑体" w:eastAsia="黑体" w:cs="黑体"/>
          <w:color w:val="auto"/>
          <w:sz w:val="28"/>
          <w:szCs w:val="28"/>
          <w:lang w:val="en-US" w:eastAsia="zh-CN"/>
        </w:rPr>
        <w:t>：承德市文物局文物科212室</w:t>
      </w:r>
    </w:p>
    <w:p>
      <w:pPr>
        <w:numPr>
          <w:ilvl w:val="0"/>
          <w:numId w:val="0"/>
        </w:numP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实施对象：</w:t>
      </w:r>
      <w:r>
        <w:rPr>
          <w:rFonts w:hint="eastAsia" w:ascii="黑体" w:hAnsi="黑体" w:eastAsia="黑体" w:cs="黑体"/>
          <w:b w:val="0"/>
          <w:bCs w:val="0"/>
          <w:color w:val="auto"/>
          <w:sz w:val="28"/>
          <w:szCs w:val="28"/>
          <w:lang w:val="en-US" w:eastAsia="zh-CN"/>
        </w:rPr>
        <w:t>自然人,企业法人,事业法人,社会组织法人,非法人企业,其他组织</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办理时限：</w:t>
      </w:r>
      <w:r>
        <w:rPr>
          <w:rFonts w:hint="eastAsia" w:ascii="黑体" w:hAnsi="黑体" w:eastAsia="黑体" w:cs="黑体"/>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15个工作日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sz w:val="28"/>
          <w:szCs w:val="28"/>
          <w:lang w:val="en-US" w:eastAsia="zh-CN"/>
        </w:rPr>
        <w:t>《中华人民共和国文物保护法》第二十一条第三款；</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《文物保护工程监理资质管理办法（试行）》</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责任事项：</w:t>
      </w:r>
      <w:r>
        <w:rPr>
          <w:rFonts w:hint="eastAsia" w:ascii="黑体" w:hAnsi="黑体" w:eastAsia="黑体" w:cs="黑体"/>
          <w:sz w:val="28"/>
          <w:szCs w:val="28"/>
          <w:lang w:val="en-US" w:eastAsia="zh-CN"/>
        </w:rPr>
        <w:t>1.受理责任：公示应当提交的材料，一次性告知补正材料，依法受理或不予受理（不予受理应当告知理由）。                                                                                                                                                                       2.审查责任：申请人提交申请材料及相关资料。                                                                                                                                                                           3.决定责任：组织专家提出意见，作出初审通过或不通过的意见，不符合条件的将材料退回，并书面告知申请人。                                                       4.送达责任：依法出具初审意见并送达。                                                                                                                                                                                  5.事后责任：取得资质证书后对证书使用、管理情况开展检查，根据检查情况，依法采取相关处置措施。                                                                                                      6.其他：法律法规规章文件规定应履行的其他责任。</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《中华人民共和国文物保护法》第二十一条第三款：文物保护单位的修缮、迁移、重建，由取得文物保护工程资质证书的单位承担。</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文物保护工程监理资质管理办法（试行）》第二十条：申请乙级及以下文物保护工程监理资质或申请增加乙级及以下资质业务范围的单位，应当报请所在地市、县级文物主管部门初审合格后报省级文物主管部门审批。</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因不履行或不正确履行行政职责，有下列情形的，行政机关及相关工作人员应承担相应责任：                                                                                                                                                1.对符合受理条件的申请不予受理的；                                                                                                                                                                                                2.对不符合受理条件或明知不符合有关法律法规或技术要求而初审通过的；                                                                                                                                                              3.因未严格审核而产生严重后果的；                                                                                                                                                                                                   4.擅自增设或变更初审程序和条件的；                                                                                                                                                                                          5.在初审中有玩忽职守、滥用职权发生腐败行为的；                                                                                                                                                                                                      6.其他违反法律法规规章文件规定的行为。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C373B"/>
    <w:rsid w:val="52D46893"/>
    <w:rsid w:val="54EC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2021-05-26T02:51:00Z</dcterms:created>
  <dc:creator>New Kid In Town</dc:creator>
  <cp:lastModifiedBy>Administrator</cp:lastModifiedBy>
  <dcterms:modified xsi:type="dcterms:W3CDTF">2021-08-11T01:51:35Z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3CDBF5355EDD4C998A4E6F0254BA4503</vt:lpwstr>
  </property>
</Properties>
</file>