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博物馆、图书馆和其他文物收藏单位藏品档案、管理制度、文物定级备案</w:t>
      </w:r>
    </w:p>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项目编</w:t>
      </w:r>
      <w:r>
        <w:rPr>
          <w:rFonts w:hint="eastAsia" w:ascii="黑体" w:hAnsi="黑体" w:eastAsia="黑体" w:cs="黑体"/>
          <w:b/>
          <w:bCs/>
          <w:color w:val="auto"/>
          <w:sz w:val="28"/>
          <w:szCs w:val="28"/>
          <w:lang w:val="en-US" w:eastAsia="zh-CN"/>
        </w:rPr>
        <w:t>码：</w:t>
      </w:r>
      <w:r>
        <w:rPr>
          <w:rFonts w:hint="eastAsia" w:ascii="黑体" w:hAnsi="黑体" w:eastAsia="黑体" w:cs="黑体"/>
          <w:color w:val="auto"/>
          <w:sz w:val="28"/>
          <w:szCs w:val="28"/>
          <w:lang w:val="en-US" w:eastAsia="zh-CN"/>
        </w:rPr>
        <w:t>131068009000</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承办机构：</w:t>
      </w:r>
      <w:r>
        <w:rPr>
          <w:rFonts w:hint="eastAsia" w:ascii="黑体" w:hAnsi="黑体" w:eastAsia="黑体" w:cs="黑体"/>
          <w:color w:val="auto"/>
          <w:sz w:val="28"/>
          <w:szCs w:val="28"/>
          <w:lang w:val="en-US" w:eastAsia="zh-CN"/>
        </w:rPr>
        <w:t>承德市文物局</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办理地点</w:t>
      </w:r>
      <w:r>
        <w:rPr>
          <w:rFonts w:hint="eastAsia" w:ascii="黑体" w:hAnsi="黑体" w:eastAsia="黑体" w:cs="黑体"/>
          <w:color w:val="auto"/>
          <w:sz w:val="28"/>
          <w:szCs w:val="28"/>
          <w:lang w:val="en-US" w:eastAsia="zh-CN"/>
        </w:rPr>
        <w:t>：承德市文物局文物科212室</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实施对象：</w:t>
      </w:r>
      <w:r>
        <w:rPr>
          <w:rFonts w:hint="eastAsia" w:ascii="黑体" w:hAnsi="黑体" w:eastAsia="黑体" w:cs="黑体"/>
          <w:color w:val="auto"/>
          <w:sz w:val="28"/>
          <w:szCs w:val="28"/>
          <w:lang w:val="en-US" w:eastAsia="zh-CN"/>
        </w:rPr>
        <w:t>企业法人,事业法人,其他组织</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color w:val="auto"/>
          <w:sz w:val="28"/>
          <w:szCs w:val="28"/>
          <w:lang w:val="en-US" w:eastAsia="zh-CN"/>
        </w:rPr>
        <w:t>办理时限：</w:t>
      </w:r>
      <w:r>
        <w:rPr>
          <w:rFonts w:hint="eastAsia" w:ascii="黑体" w:hAnsi="黑体" w:eastAsia="黑体" w:cs="黑体"/>
          <w:color w:val="auto"/>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12个工作日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color w:val="auto"/>
          <w:sz w:val="28"/>
          <w:szCs w:val="28"/>
          <w:lang w:val="en-US" w:eastAsia="zh-CN"/>
        </w:rPr>
        <w:t>《中华人民共和国文物保护法》第三十六条。</w:t>
      </w:r>
      <w:bookmarkStart w:id="0" w:name="_GoBack"/>
      <w:bookmarkEnd w:id="0"/>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1.受理责任：公示应当提交的材料，一次性告知补正材料，依法受理或不予受理（不予受理应当告知理由）。                                                                                                                                                                       2.审查责任：申请人提交申请材料及相关资料。                                                                                                                                                                           3.决定责任：组织审核，出具同意或不同意备案的意见，不符合条件的将材料退回，并书面告知申请人。                                                       4.送达责任：出具备案意见并送达。                                                                                                                                                                                  5.事后责任：及时处理转让、抵押或者改变用途后的反馈信息。                                                                                                      6.其他：法律法规规章文件规定应履行的其他责任。</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840" w:firstLineChars="300"/>
        <w:rPr>
          <w:rFonts w:hint="eastAsia" w:ascii="黑体" w:hAnsi="黑体" w:eastAsia="黑体" w:cs="黑体"/>
          <w:b/>
          <w:bCs/>
          <w:sz w:val="28"/>
          <w:szCs w:val="28"/>
          <w:lang w:val="en-US" w:eastAsia="zh-CN"/>
        </w:rPr>
      </w:pPr>
      <w:r>
        <w:rPr>
          <w:rFonts w:hint="eastAsia" w:ascii="黑体" w:hAnsi="黑体" w:eastAsia="黑体" w:cs="黑体"/>
          <w:color w:val="auto"/>
          <w:sz w:val="28"/>
          <w:szCs w:val="28"/>
          <w:lang w:val="en-US" w:eastAsia="zh-CN"/>
        </w:rPr>
        <w:t>《中华人民共和国文物保护法》第三十六条：博物馆、图书馆和其他文物收藏单位对收藏的文物，必须区分文物等级，设置藏品档案，建立严格的管理制度，并报主管的文物行政部门备案。</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因不履行或不正确履行行政职责，有下列情形的，行政机关及相关工作人员应承担相应责任：                                                                                                                                                   1.对符合受理条件而不予受理的；                                                                                                                                                                                                         2.对不符合受理条件或明知不符合有关法律法规或技术要求而进行备案的；                                                                                                                                                                     3.因未严格审查而产生严重后果的；                                                                                                                                                                                                     4.在备案中有玩忽职守、滥用职权发生腐败行为的；                                                                                                                                                                                   5.其他违反法律法规规章文件规定的行为。</w:t>
      </w: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numPr>
          <w:ilvl w:val="0"/>
          <w:numId w:val="0"/>
        </w:numPr>
        <w:rPr>
          <w:rFonts w:hint="eastAsia" w:ascii="黑体" w:hAnsi="黑体" w:eastAsia="黑体" w:cs="黑体"/>
          <w:sz w:val="28"/>
          <w:szCs w:val="28"/>
          <w:lang w:val="en-US" w:eastAsia="zh-CN"/>
        </w:rPr>
      </w:pP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6665D"/>
    <w:rsid w:val="3780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2021-05-26T03:16:00Z</dcterms:created>
  <dc:creator>Administrator</dc:creator>
  <cp:lastModifiedBy>New Kid In Town</cp:lastModifiedBy>
  <dcterms:modified xsi:type="dcterms:W3CDTF">2021-05-26T07:57:24Z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653D25372AE846E3A041E662136B5841</vt:lpwstr>
  </property>
</Properties>
</file>